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13CAD" w14:textId="77777777" w:rsidR="007D2DA9" w:rsidRPr="007D2DA9" w:rsidRDefault="007D2DA9" w:rsidP="007D2DA9">
      <w:pPr>
        <w:spacing w:before="100" w:beforeAutospacing="1" w:after="100" w:afterAutospacing="1" w:line="240" w:lineRule="auto"/>
        <w:rPr>
          <w:rFonts w:ascii="Arial" w:eastAsia="Times New Roman" w:hAnsi="Arial" w:cs="Arial"/>
          <w:b/>
          <w:bCs/>
          <w:kern w:val="0"/>
          <w:sz w:val="24"/>
          <w:szCs w:val="24"/>
          <w14:ligatures w14:val="none"/>
        </w:rPr>
      </w:pPr>
      <w:r w:rsidRPr="007D2DA9">
        <w:rPr>
          <w:rFonts w:ascii="Arial" w:eastAsia="Times New Roman" w:hAnsi="Arial" w:cs="Arial"/>
          <w:b/>
          <w:bCs/>
          <w:kern w:val="0"/>
          <w:sz w:val="24"/>
          <w:szCs w:val="24"/>
          <w14:ligatures w14:val="none"/>
        </w:rPr>
        <w:t>AFGC National Forage Week Press Release – 2026</w:t>
      </w:r>
    </w:p>
    <w:p w14:paraId="0E51ADF7" w14:textId="77777777" w:rsidR="007D2DA9" w:rsidRPr="007D2DA9" w:rsidRDefault="007D2DA9" w:rsidP="007D2DA9">
      <w:pPr>
        <w:spacing w:before="100" w:beforeAutospacing="1" w:after="100" w:afterAutospacing="1" w:line="240" w:lineRule="auto"/>
        <w:rPr>
          <w:rFonts w:ascii="Arial" w:eastAsia="Times New Roman" w:hAnsi="Arial" w:cs="Arial"/>
          <w:kern w:val="0"/>
          <w:sz w:val="24"/>
          <w:szCs w:val="24"/>
          <w14:ligatures w14:val="none"/>
        </w:rPr>
      </w:pPr>
      <w:r w:rsidRPr="007D2DA9">
        <w:rPr>
          <w:rFonts w:ascii="Arial" w:eastAsia="Times New Roman" w:hAnsi="Arial" w:cs="Arial"/>
          <w:kern w:val="0"/>
          <w:sz w:val="24"/>
          <w:szCs w:val="24"/>
          <w14:ligatures w14:val="none"/>
        </w:rPr>
        <w:t>FOR IMMEDIATE RELEASE</w:t>
      </w:r>
    </w:p>
    <w:p w14:paraId="6E8B8C9B" w14:textId="77777777" w:rsidR="007D2DA9" w:rsidRPr="007D2DA9" w:rsidRDefault="007D2DA9" w:rsidP="007D2DA9">
      <w:pPr>
        <w:spacing w:before="100" w:beforeAutospacing="1" w:after="100" w:afterAutospacing="1" w:line="240" w:lineRule="auto"/>
        <w:rPr>
          <w:rFonts w:ascii="Arial" w:eastAsia="Times New Roman" w:hAnsi="Arial" w:cs="Arial"/>
          <w:kern w:val="0"/>
          <w:sz w:val="24"/>
          <w:szCs w:val="24"/>
          <w14:ligatures w14:val="none"/>
        </w:rPr>
      </w:pPr>
      <w:r w:rsidRPr="007D2DA9">
        <w:rPr>
          <w:rFonts w:ascii="Arial" w:eastAsia="Times New Roman" w:hAnsi="Arial" w:cs="Arial"/>
          <w:kern w:val="0"/>
          <w:sz w:val="24"/>
          <w:szCs w:val="24"/>
          <w14:ligatures w14:val="none"/>
        </w:rPr>
        <w:t>National Forage Week 2026 Celebrates Forages as the Foundation of Resilient Working Lands</w:t>
      </w:r>
    </w:p>
    <w:p w14:paraId="7A9E1921" w14:textId="5A5E6DE5" w:rsidR="007D2DA9" w:rsidRPr="007D2DA9" w:rsidRDefault="007D2DA9" w:rsidP="007D2DA9">
      <w:pPr>
        <w:spacing w:before="100" w:beforeAutospacing="1" w:after="100" w:afterAutospacing="1" w:line="240" w:lineRule="auto"/>
        <w:rPr>
          <w:rFonts w:ascii="Arial" w:eastAsia="Times New Roman" w:hAnsi="Arial" w:cs="Arial"/>
          <w:kern w:val="0"/>
          <w:sz w:val="24"/>
          <w:szCs w:val="24"/>
          <w14:ligatures w14:val="none"/>
        </w:rPr>
      </w:pPr>
      <w:r w:rsidRPr="007D2DA9">
        <w:rPr>
          <w:rFonts w:ascii="Arial" w:eastAsia="Times New Roman" w:hAnsi="Arial" w:cs="Arial"/>
          <w:b/>
          <w:bCs/>
          <w:kern w:val="0"/>
          <w:sz w:val="24"/>
          <w:szCs w:val="24"/>
          <w14:ligatures w14:val="none"/>
        </w:rPr>
        <w:t>[</w:t>
      </w:r>
      <w:r w:rsidRPr="007D2DA9">
        <w:rPr>
          <w:rFonts w:ascii="Arial" w:eastAsia="Times New Roman" w:hAnsi="Arial" w:cs="Arial"/>
          <w:kern w:val="0"/>
          <w:sz w:val="24"/>
          <w:szCs w:val="24"/>
          <w14:ligatures w14:val="none"/>
        </w:rPr>
        <w:t xml:space="preserve">City, Date] – The American Forage and Grassland Council (AFGC) proudly announces National Forage Week 2026, to be observed June </w:t>
      </w:r>
      <w:r w:rsidR="003B7E3C">
        <w:rPr>
          <w:rFonts w:ascii="Arial" w:eastAsia="Times New Roman" w:hAnsi="Arial" w:cs="Arial"/>
          <w:kern w:val="0"/>
          <w:sz w:val="24"/>
          <w:szCs w:val="24"/>
          <w14:ligatures w14:val="none"/>
        </w:rPr>
        <w:t>14</w:t>
      </w:r>
      <w:r w:rsidRPr="007D2DA9">
        <w:rPr>
          <w:rFonts w:ascii="Arial" w:eastAsia="Times New Roman" w:hAnsi="Arial" w:cs="Arial"/>
          <w:kern w:val="0"/>
          <w:sz w:val="24"/>
          <w:szCs w:val="24"/>
          <w14:ligatures w14:val="none"/>
        </w:rPr>
        <w:t>–2</w:t>
      </w:r>
      <w:r w:rsidR="003B7E3C">
        <w:rPr>
          <w:rFonts w:ascii="Arial" w:eastAsia="Times New Roman" w:hAnsi="Arial" w:cs="Arial"/>
          <w:kern w:val="0"/>
          <w:sz w:val="24"/>
          <w:szCs w:val="24"/>
          <w14:ligatures w14:val="none"/>
        </w:rPr>
        <w:t>0</w:t>
      </w:r>
      <w:r w:rsidRPr="007D2DA9">
        <w:rPr>
          <w:rFonts w:ascii="Arial" w:eastAsia="Times New Roman" w:hAnsi="Arial" w:cs="Arial"/>
          <w:kern w:val="0"/>
          <w:sz w:val="24"/>
          <w:szCs w:val="24"/>
          <w14:ligatures w14:val="none"/>
        </w:rPr>
        <w:t>, 2026, highlighting the essential role of forage and grassland systems in building resilient working lands, strengthening rural economies, and sustaining livestock agriculture for future generations.</w:t>
      </w:r>
    </w:p>
    <w:p w14:paraId="1E370CE3" w14:textId="77777777" w:rsidR="007D2DA9" w:rsidRPr="007D2DA9" w:rsidRDefault="007D2DA9" w:rsidP="007D2DA9">
      <w:pPr>
        <w:spacing w:before="100" w:beforeAutospacing="1" w:after="100" w:afterAutospacing="1" w:line="240" w:lineRule="auto"/>
        <w:rPr>
          <w:rFonts w:ascii="Arial" w:eastAsia="Times New Roman" w:hAnsi="Arial" w:cs="Arial"/>
          <w:kern w:val="0"/>
          <w:sz w:val="24"/>
          <w:szCs w:val="24"/>
          <w14:ligatures w14:val="none"/>
        </w:rPr>
      </w:pPr>
      <w:r w:rsidRPr="007D2DA9">
        <w:rPr>
          <w:rFonts w:ascii="Arial" w:eastAsia="Times New Roman" w:hAnsi="Arial" w:cs="Arial"/>
          <w:kern w:val="0"/>
          <w:sz w:val="24"/>
          <w:szCs w:val="24"/>
          <w14:ligatures w14:val="none"/>
        </w:rPr>
        <w:t>The 2026 theme, “Forages for Resilient Landscapes and Productive Futures,” emphasizes how well-managed forage systems help producers adapt to weather variability, improve soil and water resources, and support economically viable livestock operations while delivering broad public benefits.</w:t>
      </w:r>
    </w:p>
    <w:p w14:paraId="40F62AB8" w14:textId="113EDFB1" w:rsidR="007D2DA9" w:rsidRPr="007D2DA9" w:rsidRDefault="007D2DA9" w:rsidP="007D2DA9">
      <w:pPr>
        <w:spacing w:before="100" w:beforeAutospacing="1" w:after="100" w:afterAutospacing="1" w:line="240" w:lineRule="auto"/>
        <w:rPr>
          <w:rFonts w:ascii="Arial" w:eastAsia="Times New Roman" w:hAnsi="Arial" w:cs="Arial"/>
          <w:kern w:val="0"/>
          <w:sz w:val="24"/>
          <w:szCs w:val="24"/>
          <w14:ligatures w14:val="none"/>
        </w:rPr>
      </w:pPr>
      <w:r w:rsidRPr="007D2DA9">
        <w:rPr>
          <w:rFonts w:ascii="Arial" w:eastAsia="Times New Roman" w:hAnsi="Arial" w:cs="Arial"/>
          <w:kern w:val="0"/>
          <w:sz w:val="24"/>
          <w:szCs w:val="24"/>
          <w14:ligatures w14:val="none"/>
        </w:rPr>
        <w:t>Forage systems cover hundreds of millions of acres across the United States and form the backbone of grazing lands, hay production, and integrated crop–livestock systems. These systems are uniquely positioned to address today’s agricultural challenges while preparing working lands for the future.</w:t>
      </w:r>
    </w:p>
    <w:p w14:paraId="3ED1AEE8" w14:textId="77777777" w:rsidR="007D2DA9" w:rsidRPr="007D2DA9" w:rsidRDefault="007D2DA9" w:rsidP="007D2DA9">
      <w:pPr>
        <w:spacing w:before="100" w:beforeAutospacing="1" w:after="100" w:afterAutospacing="1" w:line="240" w:lineRule="auto"/>
        <w:rPr>
          <w:rFonts w:ascii="Arial" w:eastAsia="Times New Roman" w:hAnsi="Arial" w:cs="Arial"/>
          <w:b/>
          <w:bCs/>
          <w:kern w:val="0"/>
          <w:sz w:val="24"/>
          <w:szCs w:val="24"/>
          <w14:ligatures w14:val="none"/>
        </w:rPr>
      </w:pPr>
      <w:r w:rsidRPr="007D2DA9">
        <w:rPr>
          <w:rFonts w:ascii="Arial" w:eastAsia="Times New Roman" w:hAnsi="Arial" w:cs="Arial"/>
          <w:b/>
          <w:bCs/>
          <w:kern w:val="0"/>
          <w:sz w:val="24"/>
          <w:szCs w:val="24"/>
          <w14:ligatures w14:val="none"/>
        </w:rPr>
        <w:t>Here’s how forages make a difference:</w:t>
      </w:r>
    </w:p>
    <w:p w14:paraId="0D2FE0DD" w14:textId="34183DAD" w:rsidR="007D2DA9" w:rsidRPr="007D2DA9" w:rsidRDefault="007D2DA9" w:rsidP="007D2DA9">
      <w:pPr>
        <w:spacing w:before="100" w:beforeAutospacing="1" w:after="100" w:afterAutospacing="1" w:line="240" w:lineRule="auto"/>
        <w:rPr>
          <w:rFonts w:ascii="Arial" w:eastAsia="Times New Roman" w:hAnsi="Arial" w:cs="Arial"/>
          <w:b/>
          <w:bCs/>
          <w:kern w:val="0"/>
          <w:sz w:val="24"/>
          <w:szCs w:val="24"/>
          <w14:ligatures w14:val="none"/>
        </w:rPr>
      </w:pPr>
      <w:r w:rsidRPr="007D2DA9">
        <w:rPr>
          <w:rFonts w:ascii="Arial" w:eastAsia="Times New Roman" w:hAnsi="Arial" w:cs="Arial"/>
          <w:b/>
          <w:bCs/>
          <w:kern w:val="0"/>
          <w:sz w:val="24"/>
          <w:szCs w:val="24"/>
          <w14:ligatures w14:val="none"/>
        </w:rPr>
        <w:t>Resilient Working Lands</w:t>
      </w:r>
      <w:r w:rsidRPr="007D2DA9">
        <w:rPr>
          <w:rFonts w:ascii="Arial" w:eastAsia="Times New Roman" w:hAnsi="Arial" w:cs="Arial"/>
          <w:b/>
          <w:bCs/>
          <w:kern w:val="0"/>
          <w:sz w:val="24"/>
          <w:szCs w:val="24"/>
          <w14:ligatures w14:val="none"/>
        </w:rPr>
        <w:br/>
      </w:r>
      <w:r w:rsidRPr="007D2DA9">
        <w:rPr>
          <w:rFonts w:ascii="Arial" w:eastAsia="Times New Roman" w:hAnsi="Arial" w:cs="Arial"/>
          <w:kern w:val="0"/>
          <w:sz w:val="24"/>
          <w:szCs w:val="24"/>
          <w14:ligatures w14:val="none"/>
        </w:rPr>
        <w:t>Forage and grassland systems protect soil from erosion, increase water infiltration, and enhance drought and flood resilience, helping producers manage risk.</w:t>
      </w:r>
    </w:p>
    <w:p w14:paraId="00D224F4" w14:textId="6ED259B0" w:rsidR="007D2DA9" w:rsidRPr="007D2DA9" w:rsidRDefault="007D2DA9" w:rsidP="007D2DA9">
      <w:pPr>
        <w:spacing w:before="100" w:beforeAutospacing="1" w:after="100" w:afterAutospacing="1" w:line="240" w:lineRule="auto"/>
        <w:rPr>
          <w:rFonts w:ascii="Arial" w:eastAsia="Times New Roman" w:hAnsi="Arial" w:cs="Arial"/>
          <w:b/>
          <w:bCs/>
          <w:kern w:val="0"/>
          <w:sz w:val="24"/>
          <w:szCs w:val="24"/>
          <w14:ligatures w14:val="none"/>
        </w:rPr>
      </w:pPr>
      <w:r w:rsidRPr="007D2DA9">
        <w:rPr>
          <w:rFonts w:ascii="Arial" w:eastAsia="Times New Roman" w:hAnsi="Arial" w:cs="Arial"/>
          <w:b/>
          <w:bCs/>
          <w:kern w:val="0"/>
          <w:sz w:val="24"/>
          <w:szCs w:val="24"/>
          <w14:ligatures w14:val="none"/>
        </w:rPr>
        <w:t>Soil Health and Carbon Stewardship</w:t>
      </w:r>
      <w:r w:rsidRPr="007D2DA9">
        <w:rPr>
          <w:rFonts w:ascii="Arial" w:eastAsia="Times New Roman" w:hAnsi="Arial" w:cs="Arial"/>
          <w:b/>
          <w:bCs/>
          <w:kern w:val="0"/>
          <w:sz w:val="24"/>
          <w:szCs w:val="24"/>
          <w14:ligatures w14:val="none"/>
        </w:rPr>
        <w:br/>
      </w:r>
      <w:r w:rsidRPr="007D2DA9">
        <w:rPr>
          <w:rFonts w:ascii="Arial" w:eastAsia="Times New Roman" w:hAnsi="Arial" w:cs="Arial"/>
          <w:kern w:val="0"/>
          <w:sz w:val="24"/>
          <w:szCs w:val="24"/>
          <w14:ligatures w14:val="none"/>
        </w:rPr>
        <w:t>Perennial and rotational forages improve soil structure, increase organic matter, and promote biological activity</w:t>
      </w:r>
      <w:r>
        <w:rPr>
          <w:rFonts w:ascii="Arial" w:eastAsia="Times New Roman" w:hAnsi="Arial" w:cs="Arial"/>
          <w:kern w:val="0"/>
          <w:sz w:val="24"/>
          <w:szCs w:val="24"/>
          <w14:ligatures w14:val="none"/>
        </w:rPr>
        <w:t xml:space="preserve"> which are </w:t>
      </w:r>
      <w:r w:rsidRPr="007D2DA9">
        <w:rPr>
          <w:rFonts w:ascii="Arial" w:eastAsia="Times New Roman" w:hAnsi="Arial" w:cs="Arial"/>
          <w:kern w:val="0"/>
          <w:sz w:val="24"/>
          <w:szCs w:val="24"/>
          <w14:ligatures w14:val="none"/>
        </w:rPr>
        <w:t>key components of long-term soil productivity and carbon storage.</w:t>
      </w:r>
    </w:p>
    <w:p w14:paraId="18E04DA1" w14:textId="77777777" w:rsidR="007D2DA9" w:rsidRPr="007D2DA9" w:rsidRDefault="007D2DA9" w:rsidP="007D2DA9">
      <w:pPr>
        <w:spacing w:before="100" w:beforeAutospacing="1" w:after="100" w:afterAutospacing="1" w:line="240" w:lineRule="auto"/>
        <w:rPr>
          <w:rFonts w:ascii="Arial" w:eastAsia="Times New Roman" w:hAnsi="Arial" w:cs="Arial"/>
          <w:b/>
          <w:bCs/>
          <w:kern w:val="0"/>
          <w:sz w:val="24"/>
          <w:szCs w:val="24"/>
          <w14:ligatures w14:val="none"/>
        </w:rPr>
      </w:pPr>
      <w:r w:rsidRPr="007D2DA9">
        <w:rPr>
          <w:rFonts w:ascii="Arial" w:eastAsia="Times New Roman" w:hAnsi="Arial" w:cs="Arial"/>
          <w:b/>
          <w:bCs/>
          <w:kern w:val="0"/>
          <w:sz w:val="24"/>
          <w:szCs w:val="24"/>
          <w14:ligatures w14:val="none"/>
        </w:rPr>
        <w:t>Natural Resource Stewardship</w:t>
      </w:r>
      <w:r w:rsidRPr="007D2DA9">
        <w:rPr>
          <w:rFonts w:ascii="Arial" w:eastAsia="Times New Roman" w:hAnsi="Arial" w:cs="Arial"/>
          <w:b/>
          <w:bCs/>
          <w:kern w:val="0"/>
          <w:sz w:val="24"/>
          <w:szCs w:val="24"/>
          <w14:ligatures w14:val="none"/>
        </w:rPr>
        <w:br/>
      </w:r>
      <w:r w:rsidRPr="007D2DA9">
        <w:rPr>
          <w:rFonts w:ascii="Arial" w:eastAsia="Times New Roman" w:hAnsi="Arial" w:cs="Arial"/>
          <w:kern w:val="0"/>
          <w:sz w:val="24"/>
          <w:szCs w:val="24"/>
          <w14:ligatures w14:val="none"/>
        </w:rPr>
        <w:t>Well-managed forage systems reduce nutrient runoff, protect water quality, and support cleaner air and water, aligning agricultural productivity with environmental responsibility.</w:t>
      </w:r>
    </w:p>
    <w:p w14:paraId="700EDAAD" w14:textId="77777777" w:rsidR="007D2DA9" w:rsidRPr="007D2DA9" w:rsidRDefault="007D2DA9" w:rsidP="007D2DA9">
      <w:pPr>
        <w:spacing w:before="100" w:beforeAutospacing="1" w:after="100" w:afterAutospacing="1" w:line="240" w:lineRule="auto"/>
        <w:rPr>
          <w:rFonts w:ascii="Arial" w:eastAsia="Times New Roman" w:hAnsi="Arial" w:cs="Arial"/>
          <w:b/>
          <w:bCs/>
          <w:kern w:val="0"/>
          <w:sz w:val="24"/>
          <w:szCs w:val="24"/>
          <w14:ligatures w14:val="none"/>
        </w:rPr>
      </w:pPr>
      <w:r w:rsidRPr="007D2DA9">
        <w:rPr>
          <w:rFonts w:ascii="Arial" w:eastAsia="Times New Roman" w:hAnsi="Arial" w:cs="Arial"/>
          <w:b/>
          <w:bCs/>
          <w:kern w:val="0"/>
          <w:sz w:val="24"/>
          <w:szCs w:val="24"/>
          <w14:ligatures w14:val="none"/>
        </w:rPr>
        <w:t>Support for Livestock and Production Agriculture</w:t>
      </w:r>
      <w:r w:rsidRPr="007D2DA9">
        <w:rPr>
          <w:rFonts w:ascii="Arial" w:eastAsia="Times New Roman" w:hAnsi="Arial" w:cs="Arial"/>
          <w:b/>
          <w:bCs/>
          <w:kern w:val="0"/>
          <w:sz w:val="24"/>
          <w:szCs w:val="24"/>
          <w14:ligatures w14:val="none"/>
        </w:rPr>
        <w:br/>
      </w:r>
      <w:r w:rsidRPr="007D2DA9">
        <w:rPr>
          <w:rFonts w:ascii="Arial" w:eastAsia="Times New Roman" w:hAnsi="Arial" w:cs="Arial"/>
          <w:kern w:val="0"/>
          <w:sz w:val="24"/>
          <w:szCs w:val="24"/>
          <w14:ligatures w14:val="none"/>
        </w:rPr>
        <w:t>Forages provide high-quality, cost-effective feed that underpins the efficiency and profitability of beef, dairy, sheep, and goat operations across the nation.</w:t>
      </w:r>
    </w:p>
    <w:p w14:paraId="04E8053E" w14:textId="77777777" w:rsidR="007D2DA9" w:rsidRPr="007D2DA9" w:rsidRDefault="007D2DA9" w:rsidP="007D2DA9">
      <w:pPr>
        <w:spacing w:before="100" w:beforeAutospacing="1" w:after="100" w:afterAutospacing="1" w:line="240" w:lineRule="auto"/>
        <w:rPr>
          <w:rFonts w:ascii="Arial" w:eastAsia="Times New Roman" w:hAnsi="Arial" w:cs="Arial"/>
          <w:b/>
          <w:bCs/>
          <w:kern w:val="0"/>
          <w:sz w:val="24"/>
          <w:szCs w:val="24"/>
          <w14:ligatures w14:val="none"/>
        </w:rPr>
      </w:pPr>
      <w:r w:rsidRPr="007D2DA9">
        <w:rPr>
          <w:rFonts w:ascii="Arial" w:eastAsia="Times New Roman" w:hAnsi="Arial" w:cs="Arial"/>
          <w:b/>
          <w:bCs/>
          <w:kern w:val="0"/>
          <w:sz w:val="24"/>
          <w:szCs w:val="24"/>
          <w14:ligatures w14:val="none"/>
        </w:rPr>
        <w:t>Biodiversity and Wildlife Habitat</w:t>
      </w:r>
      <w:r w:rsidRPr="007D2DA9">
        <w:rPr>
          <w:rFonts w:ascii="Arial" w:eastAsia="Times New Roman" w:hAnsi="Arial" w:cs="Arial"/>
          <w:b/>
          <w:bCs/>
          <w:kern w:val="0"/>
          <w:sz w:val="24"/>
          <w:szCs w:val="24"/>
          <w14:ligatures w14:val="none"/>
        </w:rPr>
        <w:br/>
      </w:r>
      <w:r w:rsidRPr="007D2DA9">
        <w:rPr>
          <w:rFonts w:ascii="Arial" w:eastAsia="Times New Roman" w:hAnsi="Arial" w:cs="Arial"/>
          <w:kern w:val="0"/>
          <w:sz w:val="24"/>
          <w:szCs w:val="24"/>
          <w14:ligatures w14:val="none"/>
        </w:rPr>
        <w:t>Forage lands support diverse plant communities, pollinators, grassland birds, and wildlife, contributing to healthy and balanced ecosystems.</w:t>
      </w:r>
    </w:p>
    <w:p w14:paraId="541DC40F" w14:textId="77777777" w:rsidR="007D2DA9" w:rsidRPr="007D2DA9" w:rsidRDefault="007D2DA9" w:rsidP="007D2DA9">
      <w:pPr>
        <w:spacing w:before="100" w:beforeAutospacing="1" w:after="100" w:afterAutospacing="1" w:line="240" w:lineRule="auto"/>
        <w:rPr>
          <w:rFonts w:ascii="Arial" w:eastAsia="Times New Roman" w:hAnsi="Arial" w:cs="Arial"/>
          <w:b/>
          <w:bCs/>
          <w:kern w:val="0"/>
          <w:sz w:val="24"/>
          <w:szCs w:val="24"/>
          <w14:ligatures w14:val="none"/>
        </w:rPr>
      </w:pPr>
      <w:r w:rsidRPr="007D2DA9">
        <w:rPr>
          <w:rFonts w:ascii="Arial" w:eastAsia="Times New Roman" w:hAnsi="Arial" w:cs="Arial"/>
          <w:b/>
          <w:bCs/>
          <w:kern w:val="0"/>
          <w:sz w:val="24"/>
          <w:szCs w:val="24"/>
          <w14:ligatures w14:val="none"/>
        </w:rPr>
        <w:lastRenderedPageBreak/>
        <w:t>Rural Economies</w:t>
      </w:r>
      <w:r w:rsidRPr="007D2DA9">
        <w:rPr>
          <w:rFonts w:ascii="Arial" w:eastAsia="Times New Roman" w:hAnsi="Arial" w:cs="Arial"/>
          <w:b/>
          <w:bCs/>
          <w:kern w:val="0"/>
          <w:sz w:val="24"/>
          <w:szCs w:val="24"/>
          <w14:ligatures w14:val="none"/>
        </w:rPr>
        <w:br/>
      </w:r>
      <w:r w:rsidRPr="007D2DA9">
        <w:rPr>
          <w:rFonts w:ascii="Arial" w:eastAsia="Times New Roman" w:hAnsi="Arial" w:cs="Arial"/>
          <w:kern w:val="0"/>
          <w:sz w:val="24"/>
          <w:szCs w:val="24"/>
          <w14:ligatures w14:val="none"/>
        </w:rPr>
        <w:t>Forage-based livestock systems sustain rural communities by reducing feed costs, supporting local businesses, and creating opportunities for value-added and regional agricultural enterprises.</w:t>
      </w:r>
    </w:p>
    <w:p w14:paraId="6FE6AFD6" w14:textId="77777777" w:rsidR="007D2DA9" w:rsidRPr="007D2DA9" w:rsidRDefault="007D2DA9" w:rsidP="007D2DA9">
      <w:pPr>
        <w:spacing w:before="100" w:beforeAutospacing="1" w:after="100" w:afterAutospacing="1" w:line="240" w:lineRule="auto"/>
        <w:rPr>
          <w:rFonts w:ascii="Arial" w:eastAsia="Times New Roman" w:hAnsi="Arial" w:cs="Arial"/>
          <w:b/>
          <w:bCs/>
          <w:kern w:val="0"/>
          <w:sz w:val="24"/>
          <w:szCs w:val="24"/>
          <w14:ligatures w14:val="none"/>
        </w:rPr>
      </w:pPr>
      <w:r w:rsidRPr="007D2DA9">
        <w:rPr>
          <w:rFonts w:ascii="Arial" w:eastAsia="Times New Roman" w:hAnsi="Arial" w:cs="Arial"/>
          <w:b/>
          <w:bCs/>
          <w:kern w:val="0"/>
          <w:sz w:val="24"/>
          <w:szCs w:val="24"/>
          <w14:ligatures w14:val="none"/>
        </w:rPr>
        <w:t>Public and Cultural Benefits</w:t>
      </w:r>
      <w:r w:rsidRPr="007D2DA9">
        <w:rPr>
          <w:rFonts w:ascii="Arial" w:eastAsia="Times New Roman" w:hAnsi="Arial" w:cs="Arial"/>
          <w:b/>
          <w:bCs/>
          <w:kern w:val="0"/>
          <w:sz w:val="24"/>
          <w:szCs w:val="24"/>
          <w14:ligatures w14:val="none"/>
        </w:rPr>
        <w:br/>
      </w:r>
      <w:r w:rsidRPr="007D2DA9">
        <w:rPr>
          <w:rFonts w:ascii="Arial" w:eastAsia="Times New Roman" w:hAnsi="Arial" w:cs="Arial"/>
          <w:kern w:val="0"/>
          <w:sz w:val="24"/>
          <w:szCs w:val="24"/>
          <w14:ligatures w14:val="none"/>
        </w:rPr>
        <w:t>Forage landscapes provide scenic open space, recreational opportunities, and preserve the cultural heritage of grazing and grassland stewardship across rural America.</w:t>
      </w:r>
    </w:p>
    <w:p w14:paraId="7FF488FE" w14:textId="77777777" w:rsidR="007D2DA9" w:rsidRPr="007D2DA9" w:rsidRDefault="007D2DA9" w:rsidP="007D2DA9">
      <w:pPr>
        <w:spacing w:before="100" w:beforeAutospacing="1" w:after="100" w:afterAutospacing="1" w:line="240" w:lineRule="auto"/>
        <w:rPr>
          <w:rFonts w:ascii="Arial" w:eastAsia="Times New Roman" w:hAnsi="Arial" w:cs="Arial"/>
          <w:kern w:val="0"/>
          <w:sz w:val="24"/>
          <w:szCs w:val="24"/>
          <w14:ligatures w14:val="none"/>
        </w:rPr>
      </w:pPr>
      <w:r w:rsidRPr="007D2DA9">
        <w:rPr>
          <w:rFonts w:ascii="Arial" w:eastAsia="Times New Roman" w:hAnsi="Arial" w:cs="Arial"/>
          <w:kern w:val="0"/>
          <w:sz w:val="24"/>
          <w:szCs w:val="24"/>
          <w14:ligatures w14:val="none"/>
        </w:rPr>
        <w:t>As we observe National Forage Week 2026, AFGC encourages farmers, ranchers, landowners, educators, researchers, and conservation professionals to share their forage stories, recognize local stewardship efforts, and celebrate the vital role forages play in sustaining productive agriculture and healthy landscapes.</w:t>
      </w:r>
    </w:p>
    <w:p w14:paraId="633879F9" w14:textId="76FDD170" w:rsidR="007D2DA9" w:rsidRPr="007D2DA9" w:rsidRDefault="007D2DA9" w:rsidP="007D2DA9">
      <w:pPr>
        <w:spacing w:before="100" w:beforeAutospacing="1" w:after="100" w:afterAutospacing="1" w:line="240" w:lineRule="auto"/>
        <w:rPr>
          <w:rFonts w:ascii="Arial" w:eastAsia="Times New Roman" w:hAnsi="Arial" w:cs="Arial"/>
          <w:kern w:val="0"/>
          <w:sz w:val="24"/>
          <w:szCs w:val="24"/>
          <w14:ligatures w14:val="none"/>
        </w:rPr>
      </w:pPr>
      <w:r w:rsidRPr="007D2DA9">
        <w:rPr>
          <w:rFonts w:ascii="Arial" w:eastAsia="Times New Roman" w:hAnsi="Arial" w:cs="Arial"/>
          <w:kern w:val="0"/>
          <w:sz w:val="24"/>
          <w:szCs w:val="24"/>
          <w14:ligatures w14:val="none"/>
        </w:rPr>
        <w:t xml:space="preserve">For more information about National Forage Week and AFGC resources, visit </w:t>
      </w:r>
      <w:hyperlink r:id="rId5" w:history="1">
        <w:r w:rsidRPr="007D2DA9">
          <w:rPr>
            <w:rStyle w:val="Hyperlink"/>
            <w:rFonts w:ascii="Arial" w:eastAsia="Times New Roman" w:hAnsi="Arial" w:cs="Arial"/>
            <w:kern w:val="0"/>
            <w:sz w:val="24"/>
            <w:szCs w:val="24"/>
            <w14:ligatures w14:val="none"/>
          </w:rPr>
          <w:t>http://www.afgc.org</w:t>
        </w:r>
      </w:hyperlink>
    </w:p>
    <w:p w14:paraId="4D27A2AE" w14:textId="00F7EA33" w:rsidR="00DB7884" w:rsidRPr="00DB7884" w:rsidRDefault="00DB7884" w:rsidP="007B41CD">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Contact:</w:t>
      </w:r>
      <w:r w:rsidRPr="00DB7884">
        <w:rPr>
          <w:rFonts w:ascii="Arial" w:eastAsia="Times New Roman" w:hAnsi="Arial" w:cs="Arial"/>
          <w:kern w:val="0"/>
          <w:sz w:val="24"/>
          <w:szCs w:val="24"/>
          <w14:ligatures w14:val="none"/>
        </w:rPr>
        <w:br/>
        <w:t>[Your Name]</w:t>
      </w:r>
      <w:r w:rsidRPr="00DB7884">
        <w:rPr>
          <w:rFonts w:ascii="Arial" w:eastAsia="Times New Roman" w:hAnsi="Arial" w:cs="Arial"/>
          <w:kern w:val="0"/>
          <w:sz w:val="24"/>
          <w:szCs w:val="24"/>
          <w14:ligatures w14:val="none"/>
        </w:rPr>
        <w:br/>
        <w:t>[Your Title]</w:t>
      </w:r>
      <w:r w:rsidRPr="00DB7884">
        <w:rPr>
          <w:rFonts w:ascii="Arial" w:eastAsia="Times New Roman" w:hAnsi="Arial" w:cs="Arial"/>
          <w:kern w:val="0"/>
          <w:sz w:val="24"/>
          <w:szCs w:val="24"/>
          <w14:ligatures w14:val="none"/>
        </w:rPr>
        <w:br/>
        <w:t>[Your Organization]</w:t>
      </w:r>
      <w:r w:rsidRPr="00DB7884">
        <w:rPr>
          <w:rFonts w:ascii="Arial" w:eastAsia="Times New Roman" w:hAnsi="Arial" w:cs="Arial"/>
          <w:kern w:val="0"/>
          <w:sz w:val="24"/>
          <w:szCs w:val="24"/>
          <w14:ligatures w14:val="none"/>
        </w:rPr>
        <w:br/>
        <w:t>[Phone Number]</w:t>
      </w:r>
      <w:r w:rsidRPr="00DB7884">
        <w:rPr>
          <w:rFonts w:ascii="Arial" w:eastAsia="Times New Roman" w:hAnsi="Arial" w:cs="Arial"/>
          <w:kern w:val="0"/>
          <w:sz w:val="24"/>
          <w:szCs w:val="24"/>
          <w14:ligatures w14:val="none"/>
        </w:rPr>
        <w:br/>
        <w:t>[Email Address]</w:t>
      </w:r>
    </w:p>
    <w:p w14:paraId="0498DB49" w14:textId="7BDDF17F" w:rsidR="00DB7884" w:rsidRPr="00DB7884" w:rsidRDefault="00DB7884" w:rsidP="00DB7884">
      <w:pPr>
        <w:spacing w:before="100" w:beforeAutospacing="1" w:after="100" w:afterAutospacing="1" w:line="240" w:lineRule="auto"/>
        <w:rPr>
          <w:rFonts w:ascii="Arial" w:eastAsia="Times New Roman" w:hAnsi="Arial" w:cs="Arial"/>
          <w:kern w:val="0"/>
          <w:sz w:val="24"/>
          <w:szCs w:val="24"/>
          <w14:ligatures w14:val="none"/>
        </w:rPr>
      </w:pPr>
      <w:r w:rsidRPr="00DB7884">
        <w:rPr>
          <w:rFonts w:ascii="Arial" w:eastAsia="Times New Roman" w:hAnsi="Arial" w:cs="Arial"/>
          <w:b/>
          <w:bCs/>
          <w:kern w:val="0"/>
          <w:sz w:val="24"/>
          <w:szCs w:val="24"/>
          <w14:ligatures w14:val="none"/>
        </w:rPr>
        <w:t>About [Your Organization]:</w:t>
      </w:r>
      <w:r w:rsidRPr="00DB7884">
        <w:rPr>
          <w:rFonts w:ascii="Arial" w:eastAsia="Times New Roman" w:hAnsi="Arial" w:cs="Arial"/>
          <w:kern w:val="0"/>
          <w:sz w:val="24"/>
          <w:szCs w:val="24"/>
          <w14:ligatures w14:val="none"/>
        </w:rPr>
        <w:br/>
        <w:t xml:space="preserve">[Your Organization] is committed to promoting </w:t>
      </w:r>
      <w:r w:rsidR="00F6785C">
        <w:rPr>
          <w:rFonts w:ascii="Arial" w:eastAsia="Times New Roman" w:hAnsi="Arial" w:cs="Arial"/>
          <w:kern w:val="0"/>
          <w:sz w:val="24"/>
          <w:szCs w:val="24"/>
          <w14:ligatures w14:val="none"/>
        </w:rPr>
        <w:t>forages through (Affiliate Council, AFGC, etc.)</w:t>
      </w:r>
      <w:r w:rsidR="00E446BA">
        <w:rPr>
          <w:rFonts w:ascii="Arial" w:eastAsia="Times New Roman" w:hAnsi="Arial" w:cs="Arial"/>
          <w:kern w:val="0"/>
          <w:sz w:val="24"/>
          <w:szCs w:val="24"/>
          <w14:ligatures w14:val="none"/>
        </w:rPr>
        <w:t xml:space="preserve">. </w:t>
      </w:r>
    </w:p>
    <w:p w14:paraId="595DB608" w14:textId="6B8FACC6" w:rsidR="002725F1" w:rsidRPr="00DB7884" w:rsidRDefault="002725F1" w:rsidP="00DB7884"/>
    <w:sectPr w:rsidR="002725F1" w:rsidRPr="00DB7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23827"/>
    <w:multiLevelType w:val="multilevel"/>
    <w:tmpl w:val="C1E03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036E77"/>
    <w:multiLevelType w:val="hybridMultilevel"/>
    <w:tmpl w:val="201AD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3882820">
    <w:abstractNumId w:val="1"/>
  </w:num>
  <w:num w:numId="2" w16cid:durableId="1906799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5F1"/>
    <w:rsid w:val="00047D1F"/>
    <w:rsid w:val="002725F1"/>
    <w:rsid w:val="003B7E3C"/>
    <w:rsid w:val="003D7CD7"/>
    <w:rsid w:val="0043758D"/>
    <w:rsid w:val="00492848"/>
    <w:rsid w:val="00576802"/>
    <w:rsid w:val="007B41CD"/>
    <w:rsid w:val="007D2DA9"/>
    <w:rsid w:val="007F0F90"/>
    <w:rsid w:val="00823181"/>
    <w:rsid w:val="00843E6A"/>
    <w:rsid w:val="0086321B"/>
    <w:rsid w:val="00A21E58"/>
    <w:rsid w:val="00A24357"/>
    <w:rsid w:val="00A3475D"/>
    <w:rsid w:val="00BE58CA"/>
    <w:rsid w:val="00CF3B92"/>
    <w:rsid w:val="00D43226"/>
    <w:rsid w:val="00D80B4B"/>
    <w:rsid w:val="00DB7884"/>
    <w:rsid w:val="00E446BA"/>
    <w:rsid w:val="00F6785C"/>
    <w:rsid w:val="00FB0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A719"/>
  <w15:chartTrackingRefBased/>
  <w15:docId w15:val="{FB12ECEF-F6BF-48C4-B465-54F95164C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5F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725F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725F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725F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725F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725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5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5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5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5F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725F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725F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725F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725F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725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5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5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5F1"/>
    <w:rPr>
      <w:rFonts w:eastAsiaTheme="majorEastAsia" w:cstheme="majorBidi"/>
      <w:color w:val="272727" w:themeColor="text1" w:themeTint="D8"/>
    </w:rPr>
  </w:style>
  <w:style w:type="paragraph" w:styleId="Title">
    <w:name w:val="Title"/>
    <w:basedOn w:val="Normal"/>
    <w:next w:val="Normal"/>
    <w:link w:val="TitleChar"/>
    <w:uiPriority w:val="10"/>
    <w:qFormat/>
    <w:rsid w:val="002725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5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5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5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5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25F1"/>
    <w:rPr>
      <w:i/>
      <w:iCs/>
      <w:color w:val="404040" w:themeColor="text1" w:themeTint="BF"/>
    </w:rPr>
  </w:style>
  <w:style w:type="paragraph" w:styleId="ListParagraph">
    <w:name w:val="List Paragraph"/>
    <w:basedOn w:val="Normal"/>
    <w:uiPriority w:val="34"/>
    <w:qFormat/>
    <w:rsid w:val="002725F1"/>
    <w:pPr>
      <w:ind w:left="720"/>
      <w:contextualSpacing/>
    </w:pPr>
  </w:style>
  <w:style w:type="character" w:styleId="IntenseEmphasis">
    <w:name w:val="Intense Emphasis"/>
    <w:basedOn w:val="DefaultParagraphFont"/>
    <w:uiPriority w:val="21"/>
    <w:qFormat/>
    <w:rsid w:val="002725F1"/>
    <w:rPr>
      <w:i/>
      <w:iCs/>
      <w:color w:val="365F91" w:themeColor="accent1" w:themeShade="BF"/>
    </w:rPr>
  </w:style>
  <w:style w:type="paragraph" w:styleId="IntenseQuote">
    <w:name w:val="Intense Quote"/>
    <w:basedOn w:val="Normal"/>
    <w:next w:val="Normal"/>
    <w:link w:val="IntenseQuoteChar"/>
    <w:uiPriority w:val="30"/>
    <w:qFormat/>
    <w:rsid w:val="002725F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725F1"/>
    <w:rPr>
      <w:i/>
      <w:iCs/>
      <w:color w:val="365F91" w:themeColor="accent1" w:themeShade="BF"/>
    </w:rPr>
  </w:style>
  <w:style w:type="character" w:styleId="IntenseReference">
    <w:name w:val="Intense Reference"/>
    <w:basedOn w:val="DefaultParagraphFont"/>
    <w:uiPriority w:val="32"/>
    <w:qFormat/>
    <w:rsid w:val="002725F1"/>
    <w:rPr>
      <w:b/>
      <w:bCs/>
      <w:smallCaps/>
      <w:color w:val="365F91" w:themeColor="accent1" w:themeShade="BF"/>
      <w:spacing w:val="5"/>
    </w:rPr>
  </w:style>
  <w:style w:type="character" w:styleId="Hyperlink">
    <w:name w:val="Hyperlink"/>
    <w:basedOn w:val="DefaultParagraphFont"/>
    <w:uiPriority w:val="99"/>
    <w:unhideWhenUsed/>
    <w:rsid w:val="007B41CD"/>
    <w:rPr>
      <w:color w:val="0000FF" w:themeColor="hyperlink"/>
      <w:u w:val="single"/>
    </w:rPr>
  </w:style>
  <w:style w:type="character" w:styleId="UnresolvedMention">
    <w:name w:val="Unresolved Mention"/>
    <w:basedOn w:val="DefaultParagraphFont"/>
    <w:uiPriority w:val="99"/>
    <w:semiHidden/>
    <w:unhideWhenUsed/>
    <w:rsid w:val="007B41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22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fgc.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408</Words>
  <Characters>2731</Characters>
  <Application>Microsoft Office Word</Application>
  <DocSecurity>0</DocSecurity>
  <Lines>56</Lines>
  <Paragraphs>18</Paragraphs>
  <ScaleCrop>false</ScaleCrop>
  <Company>ACES/CoAg</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Mullenix</dc:creator>
  <cp:keywords/>
  <dc:description/>
  <cp:lastModifiedBy>Kim Mullenix</cp:lastModifiedBy>
  <cp:revision>16</cp:revision>
  <dcterms:created xsi:type="dcterms:W3CDTF">2024-05-07T15:52:00Z</dcterms:created>
  <dcterms:modified xsi:type="dcterms:W3CDTF">2026-03-19T12:46:00Z</dcterms:modified>
</cp:coreProperties>
</file>